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4F" w:rsidRPr="001A454F" w:rsidRDefault="001A454F" w:rsidP="001A454F">
      <w:pPr>
        <w:widowControl/>
        <w:wordWrap w:val="0"/>
        <w:spacing w:before="100" w:beforeAutospacing="1" w:after="100" w:afterAutospacing="1" w:line="408" w:lineRule="auto"/>
        <w:outlineLvl w:val="1"/>
        <w:rPr>
          <w:rFonts w:ascii="標楷體" w:eastAsia="標楷體" w:hAnsi="標楷體" w:cs="Arial"/>
          <w:b/>
          <w:bCs/>
          <w:spacing w:val="30"/>
          <w:kern w:val="0"/>
          <w:sz w:val="36"/>
          <w:szCs w:val="36"/>
        </w:rPr>
      </w:pPr>
      <w:r w:rsidRPr="001A454F">
        <w:rPr>
          <w:rFonts w:ascii="標楷體" w:eastAsia="標楷體" w:hAnsi="標楷體" w:cs="Arial"/>
          <w:b/>
          <w:bCs/>
          <w:spacing w:val="30"/>
          <w:kern w:val="0"/>
          <w:sz w:val="36"/>
          <w:szCs w:val="36"/>
        </w:rPr>
        <w:t>常用電器耗</w:t>
      </w:r>
      <w:proofErr w:type="gramStart"/>
      <w:r w:rsidRPr="001A454F">
        <w:rPr>
          <w:rFonts w:ascii="標楷體" w:eastAsia="標楷體" w:hAnsi="標楷體" w:cs="Arial"/>
          <w:b/>
          <w:bCs/>
          <w:spacing w:val="30"/>
          <w:kern w:val="0"/>
          <w:sz w:val="36"/>
          <w:szCs w:val="36"/>
        </w:rPr>
        <w:t>電</w:t>
      </w:r>
      <w:r w:rsidR="00D929BC" w:rsidRPr="00674C43">
        <w:rPr>
          <w:rFonts w:ascii="標楷體" w:eastAsia="標楷體" w:hAnsi="標楷體" w:cs="Arial" w:hint="eastAsia"/>
          <w:b/>
          <w:bCs/>
          <w:spacing w:val="30"/>
          <w:kern w:val="0"/>
          <w:sz w:val="36"/>
          <w:szCs w:val="36"/>
        </w:rPr>
        <w:t>瓦數概</w:t>
      </w:r>
      <w:proofErr w:type="gramEnd"/>
      <w:r w:rsidRPr="001A454F">
        <w:rPr>
          <w:rFonts w:ascii="標楷體" w:eastAsia="標楷體" w:hAnsi="標楷體" w:cs="Arial"/>
          <w:b/>
          <w:bCs/>
          <w:spacing w:val="30"/>
          <w:kern w:val="0"/>
          <w:sz w:val="36"/>
          <w:szCs w:val="36"/>
        </w:rPr>
        <w:t>估表</w:t>
      </w:r>
    </w:p>
    <w:tbl>
      <w:tblPr>
        <w:tblW w:w="4625" w:type="pct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4"/>
        <w:gridCol w:w="1738"/>
        <w:gridCol w:w="1742"/>
        <w:gridCol w:w="1900"/>
        <w:gridCol w:w="1900"/>
      </w:tblGrid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3758DC" w:rsidRPr="001A454F" w:rsidRDefault="003758DC" w:rsidP="00D929B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b/>
                <w:kern w:val="0"/>
                <w:szCs w:val="24"/>
              </w:rPr>
              <w:t>電器名稱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3758DC" w:rsidRPr="001A454F" w:rsidRDefault="003758DC" w:rsidP="00D929B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b/>
                <w:kern w:val="0"/>
                <w:szCs w:val="24"/>
              </w:rPr>
              <w:t>消費電力(W)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3758DC" w:rsidRPr="001A454F" w:rsidRDefault="003758DC" w:rsidP="00D929B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每天</w:t>
            </w:r>
            <w:r w:rsidRPr="001A454F">
              <w:rPr>
                <w:rFonts w:ascii="標楷體" w:eastAsia="標楷體" w:hAnsi="標楷體" w:cs="Arial"/>
                <w:b/>
                <w:kern w:val="0"/>
                <w:szCs w:val="24"/>
              </w:rPr>
              <w:t xml:space="preserve">使用時間估計（時）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3758DC" w:rsidRPr="003758DC" w:rsidRDefault="003758DC" w:rsidP="003758DC">
            <w:pPr>
              <w:spacing w:line="320" w:lineRule="exact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758DC">
              <w:rPr>
                <w:rFonts w:ascii="Times New Roman" w:eastAsia="標楷體" w:hAnsi="標楷體" w:hint="eastAsia"/>
                <w:b/>
                <w:szCs w:val="24"/>
              </w:rPr>
              <w:t>推估每日</w:t>
            </w:r>
          </w:p>
          <w:p w:rsidR="003758DC" w:rsidRPr="001A454F" w:rsidRDefault="003758DC" w:rsidP="003758DC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3758DC">
              <w:rPr>
                <w:rFonts w:ascii="Times New Roman" w:eastAsia="標楷體" w:hAnsi="標楷體" w:hint="eastAsia"/>
                <w:b/>
                <w:szCs w:val="24"/>
              </w:rPr>
              <w:t>使用度數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3758DC" w:rsidRPr="001A454F" w:rsidRDefault="003758DC" w:rsidP="0083240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b/>
                <w:kern w:val="0"/>
                <w:szCs w:val="24"/>
              </w:rPr>
              <w:t xml:space="preserve">備註 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電視機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140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4時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0.56度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28吋彩色 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開飲機</w:t>
            </w:r>
            <w:proofErr w:type="gram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800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2時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1.6度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電腦:主機+顯示器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250+120=370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5時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1.85度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17吋螢幕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冷氣機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900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5時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4.5度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1噸 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印表機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12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0.02度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噴墨型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電扇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66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3時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0.2度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16吋 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音響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50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BB272C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0.05度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CA05F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收音機 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CA05F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CA05F0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0.01度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　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電冰箱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130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12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0.15度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320公升 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電鍋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800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1時</w:t>
            </w: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0.8度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10人份 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洗衣機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420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0.42度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83240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8公斤 </w:t>
            </w: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乾衣機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1200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0.5時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0.6度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電熨斗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800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3時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2.4度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吹風機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800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0.2時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0.16度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電暖爐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700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3時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2.1度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B860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除濕機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285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3時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0.86度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燈泡(60W)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60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>3時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0.18度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日光燈(20W) 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25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5時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4D1207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0.13度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758DC" w:rsidRPr="001A454F" w:rsidTr="003758DC">
        <w:trPr>
          <w:jc w:val="center"/>
        </w:trPr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省電燈泡 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1A454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17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3758DC" w:rsidP="00380A6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1A454F">
              <w:rPr>
                <w:rFonts w:ascii="標楷體" w:eastAsia="標楷體" w:hAnsi="標楷體" w:cs="Arial"/>
                <w:kern w:val="0"/>
                <w:szCs w:val="24"/>
              </w:rPr>
              <w:t xml:space="preserve">5時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8DC" w:rsidRPr="001A454F" w:rsidRDefault="004D1207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0.09度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8DC" w:rsidRPr="001A454F" w:rsidRDefault="003758DC" w:rsidP="001A454F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1A454F" w:rsidRPr="001A454F" w:rsidRDefault="001A454F" w:rsidP="001A454F">
      <w:pPr>
        <w:widowControl/>
        <w:wordWrap w:val="0"/>
        <w:spacing w:before="100" w:beforeAutospacing="1" w:after="100" w:afterAutospacing="1" w:line="408" w:lineRule="auto"/>
        <w:rPr>
          <w:rFonts w:ascii="標楷體" w:eastAsia="標楷體" w:hAnsi="標楷體" w:cs="Arial"/>
          <w:spacing w:val="30"/>
          <w:kern w:val="0"/>
          <w:szCs w:val="24"/>
        </w:rPr>
      </w:pPr>
      <w:proofErr w:type="gramStart"/>
      <w:r w:rsidRPr="001A454F">
        <w:rPr>
          <w:rFonts w:ascii="標楷體" w:eastAsia="標楷體" w:hAnsi="標楷體" w:cs="Arial"/>
          <w:spacing w:val="30"/>
          <w:kern w:val="0"/>
          <w:szCs w:val="24"/>
        </w:rPr>
        <w:t>註</w:t>
      </w:r>
      <w:proofErr w:type="gramEnd"/>
      <w:r w:rsidRPr="001A454F">
        <w:rPr>
          <w:rFonts w:ascii="標楷體" w:eastAsia="標楷體" w:hAnsi="標楷體" w:cs="Arial"/>
          <w:spacing w:val="30"/>
          <w:kern w:val="0"/>
          <w:szCs w:val="24"/>
        </w:rPr>
        <w:t xml:space="preserve">： </w:t>
      </w:r>
    </w:p>
    <w:p w:rsidR="00E03FC2" w:rsidRPr="00E03FC2" w:rsidRDefault="001A454F" w:rsidP="00E03FC2">
      <w:pPr>
        <w:widowControl/>
        <w:numPr>
          <w:ilvl w:val="0"/>
          <w:numId w:val="1"/>
        </w:numPr>
        <w:shd w:val="clear" w:color="auto" w:fill="FFFFFF"/>
        <w:spacing w:before="120" w:after="100" w:afterAutospacing="1" w:line="408" w:lineRule="auto"/>
        <w:rPr>
          <w:rFonts w:ascii="標楷體" w:eastAsia="標楷體" w:hAnsi="標楷體"/>
        </w:rPr>
      </w:pPr>
      <w:proofErr w:type="gramStart"/>
      <w:r w:rsidRPr="00E03FC2">
        <w:rPr>
          <w:rFonts w:ascii="標楷體" w:eastAsia="標楷體" w:hAnsi="標楷體"/>
        </w:rPr>
        <w:lastRenderedPageBreak/>
        <w:t>本表各電器</w:t>
      </w:r>
      <w:proofErr w:type="gramEnd"/>
      <w:r w:rsidRPr="00E03FC2">
        <w:rPr>
          <w:rFonts w:ascii="標楷體" w:eastAsia="標楷體" w:hAnsi="標楷體"/>
        </w:rPr>
        <w:t>產品之耗電量，會因廠牌、型號等有所不同。</w:t>
      </w:r>
    </w:p>
    <w:p w:rsidR="00D929BC" w:rsidRPr="00E03FC2" w:rsidRDefault="00C06BB3" w:rsidP="00E03FC2">
      <w:pPr>
        <w:widowControl/>
        <w:numPr>
          <w:ilvl w:val="0"/>
          <w:numId w:val="1"/>
        </w:numPr>
        <w:shd w:val="clear" w:color="auto" w:fill="FFFFFF"/>
        <w:wordWrap w:val="0"/>
        <w:spacing w:before="120" w:after="100" w:afterAutospacing="1" w:line="408" w:lineRule="auto"/>
        <w:rPr>
          <w:rFonts w:ascii="標楷體" w:eastAsia="標楷體" w:hAnsi="標楷體"/>
        </w:rPr>
      </w:pPr>
      <w:r w:rsidRPr="00E03FC2">
        <w:rPr>
          <w:rFonts w:ascii="標楷體" w:eastAsia="標楷體" w:hAnsi="標楷體" w:hint="eastAsia"/>
        </w:rPr>
        <w:t>檢查電器產品標示的</w:t>
      </w:r>
      <w:r w:rsidR="00E03FC2" w:rsidRPr="00E03FC2">
        <w:rPr>
          <w:rFonts w:ascii="標楷體" w:eastAsia="標楷體" w:hAnsi="標楷體" w:hint="eastAsia"/>
        </w:rPr>
        <w:t>「</w:t>
      </w:r>
      <w:r w:rsidRPr="00E03FC2">
        <w:rPr>
          <w:rFonts w:ascii="標楷體" w:eastAsia="標楷體" w:hAnsi="標楷體" w:hint="eastAsia"/>
        </w:rPr>
        <w:t>瓦特數</w:t>
      </w:r>
      <w:r w:rsidR="00E03FC2" w:rsidRPr="00E03FC2">
        <w:rPr>
          <w:rFonts w:ascii="標楷體" w:eastAsia="標楷體" w:hAnsi="標楷體" w:hint="eastAsia"/>
        </w:rPr>
        <w:t>」</w:t>
      </w:r>
      <w:r w:rsidRPr="00E03FC2">
        <w:rPr>
          <w:rFonts w:ascii="標楷體" w:eastAsia="標楷體" w:hAnsi="標楷體" w:hint="eastAsia"/>
        </w:rPr>
        <w:t>：</w:t>
      </w:r>
      <w:r w:rsidR="00D929BC" w:rsidRPr="00E03FC2">
        <w:rPr>
          <w:rFonts w:ascii="標楷體" w:eastAsia="標楷體" w:hAnsi="標楷體"/>
        </w:rPr>
        <w:t>也就是每樣電器上所標示的</w:t>
      </w:r>
      <w:r w:rsidR="00160B7A" w:rsidRPr="00E03FC2">
        <w:rPr>
          <w:rFonts w:ascii="標楷體" w:eastAsia="標楷體" w:hAnsi="標楷體" w:hint="eastAsia"/>
        </w:rPr>
        <w:t>『</w:t>
      </w:r>
      <w:r w:rsidR="00D929BC" w:rsidRPr="00E03FC2">
        <w:rPr>
          <w:rFonts w:ascii="標楷體" w:eastAsia="標楷體" w:hAnsi="標楷體"/>
        </w:rPr>
        <w:t>消耗電功率</w:t>
      </w:r>
      <w:r w:rsidR="00160B7A" w:rsidRPr="00E03FC2">
        <w:rPr>
          <w:rFonts w:ascii="標楷體" w:eastAsia="標楷體" w:hAnsi="標楷體" w:hint="eastAsia"/>
        </w:rPr>
        <w:t>』</w:t>
      </w:r>
      <w:r w:rsidR="00D929BC" w:rsidRPr="00E03FC2">
        <w:rPr>
          <w:rFonts w:ascii="標楷體" w:eastAsia="標楷體" w:hAnsi="標楷體"/>
        </w:rPr>
        <w:t>，就是每一小時會用掉多少瓦特。經濟部規定每一個電器用品的標示都必須含「消耗電功率」這項目，單位是以瓦特數(Watt)來計算，簡稱W。下圖是幾種電器的標示：</w:t>
      </w:r>
    </w:p>
    <w:p w:rsidR="00D929BC" w:rsidRPr="00674C43" w:rsidRDefault="00D929BC" w:rsidP="00D929BC">
      <w:pPr>
        <w:pStyle w:val="style3"/>
        <w:shd w:val="clear" w:color="auto" w:fill="FFFFFF"/>
        <w:rPr>
          <w:rFonts w:ascii="標楷體" w:eastAsia="標楷體" w:hAnsi="標楷體"/>
          <w:sz w:val="23"/>
          <w:szCs w:val="23"/>
        </w:rPr>
      </w:pPr>
      <w:proofErr w:type="gramStart"/>
      <w:r w:rsidRPr="00004544">
        <w:rPr>
          <w:rStyle w:val="style11"/>
          <w:rFonts w:ascii="標楷體" w:eastAsia="標楷體" w:hAnsi="標楷體" w:hint="default"/>
        </w:rPr>
        <w:t>▼</w:t>
      </w:r>
      <w:proofErr w:type="gramEnd"/>
      <w:r w:rsidRPr="00004544">
        <w:rPr>
          <w:rFonts w:ascii="標楷體" w:eastAsia="標楷體" w:hAnsi="標楷體"/>
        </w:rPr>
        <w:t>吹風機的消耗電功率1200W</w:t>
      </w:r>
      <w:r w:rsidR="00F97634">
        <w:rPr>
          <w:rFonts w:ascii="標楷體" w:eastAsia="標楷體" w:hAnsi="標楷體" w:hint="eastAsia"/>
        </w:rPr>
        <w:t xml:space="preserve">                     </w:t>
      </w:r>
      <w:proofErr w:type="gramStart"/>
      <w:r w:rsidR="00F97634" w:rsidRPr="00674C43">
        <w:rPr>
          <w:rStyle w:val="style11"/>
          <w:rFonts w:ascii="標楷體" w:eastAsia="標楷體" w:hAnsi="標楷體" w:hint="default"/>
          <w:sz w:val="23"/>
          <w:szCs w:val="23"/>
        </w:rPr>
        <w:t>▼</w:t>
      </w:r>
      <w:proofErr w:type="gramEnd"/>
      <w:r w:rsidR="00F97634" w:rsidRPr="00674C43">
        <w:rPr>
          <w:rFonts w:ascii="標楷體" w:eastAsia="標楷體" w:hAnsi="標楷體"/>
          <w:sz w:val="23"/>
          <w:szCs w:val="23"/>
        </w:rPr>
        <w:t>電磁爐的消耗電功率1500W</w:t>
      </w:r>
      <w:r w:rsidRPr="00004544">
        <w:rPr>
          <w:rFonts w:ascii="標楷體" w:eastAsia="標楷體" w:hAnsi="標楷體"/>
        </w:rPr>
        <w:br/>
      </w:r>
      <w:r w:rsidR="004D1207">
        <w:rPr>
          <w:rFonts w:ascii="標楷體" w:eastAsia="標楷體" w:hAnsi="標楷體"/>
          <w:noProof/>
          <w:sz w:val="23"/>
          <w:szCs w:val="23"/>
        </w:rPr>
        <w:drawing>
          <wp:inline distT="0" distB="0" distL="0" distR="0">
            <wp:extent cx="2028825" cy="2028825"/>
            <wp:effectExtent l="19050" t="0" r="9525" b="0"/>
            <wp:docPr id="1" name="圖片 1" descr="吹風機耗電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吹風機耗電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634">
        <w:rPr>
          <w:rFonts w:ascii="標楷體" w:eastAsia="標楷體" w:hAnsi="標楷體" w:hint="eastAsia"/>
          <w:sz w:val="23"/>
          <w:szCs w:val="23"/>
        </w:rPr>
        <w:t xml:space="preserve">               </w:t>
      </w:r>
      <w:r w:rsidR="004D1207">
        <w:rPr>
          <w:rFonts w:ascii="標楷體" w:eastAsia="標楷體" w:hAnsi="標楷體"/>
          <w:noProof/>
          <w:sz w:val="23"/>
          <w:szCs w:val="23"/>
        </w:rPr>
        <w:drawing>
          <wp:inline distT="0" distB="0" distL="0" distR="0">
            <wp:extent cx="1924050" cy="1924050"/>
            <wp:effectExtent l="19050" t="0" r="0" b="0"/>
            <wp:docPr id="2" name="圖片 2" descr="電磁爐耗電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電磁爐耗電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BC" w:rsidRPr="00674C43" w:rsidRDefault="00D929BC" w:rsidP="00D929BC">
      <w:pPr>
        <w:pStyle w:val="style3"/>
        <w:shd w:val="clear" w:color="auto" w:fill="FFFFFF"/>
        <w:rPr>
          <w:rFonts w:ascii="標楷體" w:eastAsia="標楷體" w:hAnsi="標楷體"/>
          <w:sz w:val="23"/>
          <w:szCs w:val="23"/>
        </w:rPr>
      </w:pPr>
      <w:proofErr w:type="gramStart"/>
      <w:r w:rsidRPr="00674C43">
        <w:rPr>
          <w:rStyle w:val="style11"/>
          <w:rFonts w:ascii="標楷體" w:eastAsia="標楷體" w:hAnsi="標楷體" w:hint="default"/>
          <w:sz w:val="23"/>
          <w:szCs w:val="23"/>
        </w:rPr>
        <w:t>▼</w:t>
      </w:r>
      <w:proofErr w:type="gramEnd"/>
      <w:r w:rsidRPr="00674C43">
        <w:rPr>
          <w:rFonts w:ascii="標楷體" w:eastAsia="標楷體" w:hAnsi="標楷體"/>
          <w:sz w:val="23"/>
          <w:szCs w:val="23"/>
        </w:rPr>
        <w:t>山多力立扇消耗電功率75W</w:t>
      </w:r>
      <w:r w:rsidR="008E0576">
        <w:rPr>
          <w:rFonts w:ascii="標楷體" w:eastAsia="標楷體" w:hAnsi="標楷體" w:hint="eastAsia"/>
          <w:sz w:val="23"/>
          <w:szCs w:val="23"/>
        </w:rPr>
        <w:t xml:space="preserve">                 </w:t>
      </w:r>
      <w:proofErr w:type="gramStart"/>
      <w:r w:rsidR="008E0576" w:rsidRPr="00674C43">
        <w:rPr>
          <w:rStyle w:val="style11"/>
          <w:rFonts w:ascii="標楷體" w:eastAsia="標楷體" w:hAnsi="標楷體" w:hint="default"/>
          <w:sz w:val="23"/>
          <w:szCs w:val="23"/>
        </w:rPr>
        <w:t>▼</w:t>
      </w:r>
      <w:proofErr w:type="gramEnd"/>
      <w:r w:rsidR="008E0576" w:rsidRPr="00674C43">
        <w:rPr>
          <w:rFonts w:ascii="標楷體" w:eastAsia="標楷體" w:hAnsi="標楷體"/>
          <w:sz w:val="23"/>
          <w:szCs w:val="23"/>
        </w:rPr>
        <w:t>液晶電視消耗電功率105W</w:t>
      </w:r>
      <w:r w:rsidR="008E0576" w:rsidRPr="00674C43">
        <w:rPr>
          <w:rFonts w:ascii="標楷體" w:eastAsia="標楷體" w:hAnsi="標楷體"/>
          <w:sz w:val="23"/>
          <w:szCs w:val="23"/>
        </w:rPr>
        <w:br/>
      </w:r>
      <w:r w:rsidR="004D1207">
        <w:rPr>
          <w:rFonts w:ascii="標楷體" w:eastAsia="標楷體" w:hAnsi="標楷體"/>
          <w:noProof/>
          <w:sz w:val="23"/>
          <w:szCs w:val="23"/>
        </w:rPr>
        <w:drawing>
          <wp:inline distT="0" distB="0" distL="0" distR="0">
            <wp:extent cx="2124075" cy="2124075"/>
            <wp:effectExtent l="19050" t="0" r="9525" b="0"/>
            <wp:docPr id="3" name="圖片 3" descr="電扇耗電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電扇耗電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576">
        <w:rPr>
          <w:rFonts w:ascii="標楷體" w:eastAsia="標楷體" w:hAnsi="標楷體" w:hint="eastAsia"/>
          <w:sz w:val="23"/>
          <w:szCs w:val="23"/>
        </w:rPr>
        <w:t xml:space="preserve">              </w:t>
      </w:r>
      <w:r w:rsidR="004D1207">
        <w:rPr>
          <w:rFonts w:ascii="標楷體" w:eastAsia="標楷體" w:hAnsi="標楷體"/>
          <w:noProof/>
          <w:sz w:val="23"/>
          <w:szCs w:val="23"/>
        </w:rPr>
        <w:drawing>
          <wp:inline distT="0" distB="0" distL="0" distR="0">
            <wp:extent cx="2133600" cy="2133600"/>
            <wp:effectExtent l="19050" t="0" r="0" b="0"/>
            <wp:docPr id="4" name="圖片 4" descr="電視機耗電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電視機耗電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576">
        <w:rPr>
          <w:rFonts w:ascii="標楷體" w:eastAsia="標楷體" w:hAnsi="標楷體" w:hint="eastAsia"/>
          <w:sz w:val="23"/>
          <w:szCs w:val="23"/>
        </w:rPr>
        <w:t xml:space="preserve">   </w:t>
      </w:r>
    </w:p>
    <w:p w:rsidR="008E0576" w:rsidRDefault="00D929BC" w:rsidP="00A43084">
      <w:pPr>
        <w:pStyle w:val="style3"/>
        <w:shd w:val="clear" w:color="auto" w:fill="FFFFFF"/>
        <w:rPr>
          <w:rFonts w:ascii="標楷體" w:eastAsia="標楷體" w:hAnsi="標楷體"/>
          <w:sz w:val="23"/>
          <w:szCs w:val="23"/>
        </w:rPr>
      </w:pPr>
      <w:r w:rsidRPr="00674C43">
        <w:rPr>
          <w:rFonts w:ascii="標楷體" w:eastAsia="標楷體" w:hAnsi="標楷體"/>
          <w:sz w:val="23"/>
          <w:szCs w:val="23"/>
        </w:rPr>
        <w:t> </w:t>
      </w:r>
      <w:proofErr w:type="gramStart"/>
      <w:r w:rsidRPr="00674C43">
        <w:rPr>
          <w:rStyle w:val="style11"/>
          <w:rFonts w:ascii="標楷體" w:eastAsia="標楷體" w:hAnsi="標楷體" w:hint="default"/>
          <w:sz w:val="23"/>
          <w:szCs w:val="23"/>
        </w:rPr>
        <w:t>▼</w:t>
      </w:r>
      <w:proofErr w:type="gramEnd"/>
      <w:r w:rsidRPr="00674C43">
        <w:rPr>
          <w:rFonts w:ascii="標楷體" w:eastAsia="標楷體" w:hAnsi="標楷體"/>
          <w:sz w:val="23"/>
          <w:szCs w:val="23"/>
        </w:rPr>
        <w:t>大金分離式冷氣</w:t>
      </w:r>
      <w:r w:rsidR="00A43084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A43084" w:rsidRPr="00674C43" w:rsidRDefault="004D1207" w:rsidP="00A43084">
      <w:pPr>
        <w:pStyle w:val="style3"/>
        <w:shd w:val="clear" w:color="auto" w:fill="FFFFFF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noProof/>
          <w:sz w:val="23"/>
          <w:szCs w:val="23"/>
        </w:rPr>
        <w:drawing>
          <wp:inline distT="0" distB="0" distL="0" distR="0">
            <wp:extent cx="1914525" cy="1914525"/>
            <wp:effectExtent l="19050" t="0" r="9525" b="0"/>
            <wp:docPr id="5" name="圖片 5" descr="冷氣機耗電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冷氣機耗電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576" w:rsidRPr="00674C43" w:rsidRDefault="008E0576" w:rsidP="008E0576">
      <w:pPr>
        <w:pStyle w:val="1"/>
        <w:shd w:val="clear" w:color="auto" w:fill="FFFFFF"/>
        <w:rPr>
          <w:rFonts w:ascii="標楷體" w:eastAsia="標楷體" w:hAnsi="標楷體"/>
          <w:sz w:val="48"/>
          <w:szCs w:val="48"/>
        </w:rPr>
      </w:pPr>
      <w:r w:rsidRPr="00674C43">
        <w:rPr>
          <w:rFonts w:ascii="標楷體" w:eastAsia="標楷體" w:hAnsi="標楷體"/>
        </w:rPr>
        <w:lastRenderedPageBreak/>
        <w:t>一度多少錢</w:t>
      </w:r>
    </w:p>
    <w:p w:rsidR="00AC7246" w:rsidRDefault="008E0576" w:rsidP="006D1E1F">
      <w:pPr>
        <w:pStyle w:val="Web"/>
        <w:shd w:val="clear" w:color="auto" w:fill="FFFFFF"/>
        <w:spacing w:after="0" w:afterAutospacing="0"/>
        <w:rPr>
          <w:rFonts w:ascii="Times New Roman" w:eastAsia="標楷體" w:hAnsi="標楷體" w:cs="Times New Roman" w:hint="eastAsia"/>
          <w:color w:val="FF0000"/>
          <w:sz w:val="23"/>
          <w:szCs w:val="23"/>
        </w:rPr>
      </w:pPr>
      <w:r w:rsidRPr="00674C43">
        <w:rPr>
          <w:rFonts w:ascii="標楷體" w:eastAsia="標楷體" w:hAnsi="標楷體"/>
          <w:color w:val="auto"/>
          <w:sz w:val="23"/>
          <w:szCs w:val="23"/>
        </w:rPr>
        <w:t>為了鼓勵大家節省能源，每度的電價台電是採取累進費率的，也就是用量愈多的部分，每度的單價是愈高的。而且分夏季以及非夏季之分，夏季的單價顯然比非夏季要高出許多。下表的費率可參考</w:t>
      </w:r>
      <w:hyperlink r:id="rId13" w:tgtFrame="_blank" w:history="1">
        <w:r w:rsidRPr="00674C43">
          <w:rPr>
            <w:rStyle w:val="a3"/>
            <w:rFonts w:ascii="標楷體" w:eastAsia="標楷體" w:hAnsi="標楷體"/>
            <w:color w:val="auto"/>
            <w:sz w:val="23"/>
            <w:szCs w:val="23"/>
          </w:rPr>
          <w:t>台灣電力公司電價表</w:t>
        </w:r>
      </w:hyperlink>
      <w:r w:rsidRPr="00674C43">
        <w:rPr>
          <w:rFonts w:ascii="標楷體" w:eastAsia="標楷體" w:hAnsi="標楷體"/>
          <w:color w:val="auto"/>
          <w:sz w:val="23"/>
          <w:szCs w:val="23"/>
        </w:rPr>
        <w:t>。</w:t>
      </w:r>
      <w:proofErr w:type="gramStart"/>
      <w:r w:rsidRPr="00674C43">
        <w:rPr>
          <w:rStyle w:val="style11"/>
          <w:rFonts w:ascii="標楷體" w:eastAsia="標楷體" w:hAnsi="標楷體" w:hint="default"/>
          <w:color w:val="auto"/>
          <w:sz w:val="23"/>
          <w:szCs w:val="23"/>
        </w:rPr>
        <w:t>▼</w:t>
      </w:r>
      <w:proofErr w:type="gramEnd"/>
      <w:r w:rsidRPr="004D1207">
        <w:rPr>
          <w:rFonts w:ascii="Times New Roman" w:eastAsia="標楷體" w:hAnsi="標楷體" w:cs="Times New Roman"/>
          <w:color w:val="FF0000"/>
          <w:sz w:val="23"/>
          <w:szCs w:val="23"/>
        </w:rPr>
        <w:t>民國</w:t>
      </w:r>
      <w:r w:rsidR="004D1207" w:rsidRPr="004D1207">
        <w:rPr>
          <w:rFonts w:ascii="Times New Roman" w:eastAsia="標楷體" w:hAnsi="Times New Roman" w:cs="Times New Roman"/>
          <w:color w:val="FF0000"/>
          <w:sz w:val="23"/>
          <w:szCs w:val="23"/>
        </w:rPr>
        <w:t>104</w:t>
      </w:r>
      <w:r w:rsidRPr="004D1207">
        <w:rPr>
          <w:rFonts w:ascii="Times New Roman" w:eastAsia="標楷體" w:hAnsi="標楷體" w:cs="Times New Roman"/>
          <w:color w:val="FF0000"/>
          <w:sz w:val="23"/>
          <w:szCs w:val="23"/>
        </w:rPr>
        <w:t>年</w:t>
      </w:r>
      <w:r w:rsidRPr="004D1207">
        <w:rPr>
          <w:rFonts w:ascii="Times New Roman" w:eastAsia="標楷體" w:hAnsi="Times New Roman" w:cs="Times New Roman"/>
          <w:color w:val="FF0000"/>
          <w:sz w:val="23"/>
          <w:szCs w:val="23"/>
        </w:rPr>
        <w:t>10</w:t>
      </w:r>
      <w:r w:rsidRPr="004D1207">
        <w:rPr>
          <w:rFonts w:ascii="Times New Roman" w:eastAsia="標楷體" w:hAnsi="標楷體" w:cs="Times New Roman"/>
          <w:color w:val="FF0000"/>
          <w:sz w:val="23"/>
          <w:szCs w:val="23"/>
        </w:rPr>
        <w:t>月</w:t>
      </w:r>
      <w:r w:rsidRPr="004D1207">
        <w:rPr>
          <w:rFonts w:ascii="Times New Roman" w:eastAsia="標楷體" w:hAnsi="Times New Roman" w:cs="Times New Roman"/>
          <w:color w:val="FF0000"/>
          <w:sz w:val="23"/>
          <w:szCs w:val="23"/>
        </w:rPr>
        <w:t>1</w:t>
      </w:r>
      <w:r w:rsidRPr="004D1207">
        <w:rPr>
          <w:rFonts w:ascii="Times New Roman" w:eastAsia="標楷體" w:hAnsi="標楷體" w:cs="Times New Roman"/>
          <w:color w:val="FF0000"/>
          <w:sz w:val="23"/>
          <w:szCs w:val="23"/>
        </w:rPr>
        <w:t>日起實施之電費表</w:t>
      </w:r>
    </w:p>
    <w:tbl>
      <w:tblPr>
        <w:tblStyle w:val="3-3"/>
        <w:tblW w:w="5000" w:type="pct"/>
        <w:tblLook w:val="04A0" w:firstRow="1" w:lastRow="0" w:firstColumn="1" w:lastColumn="0" w:noHBand="0" w:noVBand="1"/>
      </w:tblPr>
      <w:tblGrid>
        <w:gridCol w:w="1482"/>
        <w:gridCol w:w="2705"/>
        <w:gridCol w:w="876"/>
        <w:gridCol w:w="3320"/>
        <w:gridCol w:w="2299"/>
      </w:tblGrid>
      <w:tr w:rsidR="00AC7246" w:rsidRPr="00E27E67" w:rsidTr="00E27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gridSpan w:val="3"/>
            <w:shd w:val="clear" w:color="auto" w:fill="76923C" w:themeFill="accent3" w:themeFillShade="BF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  <w:t>分類</w:t>
            </w:r>
          </w:p>
        </w:tc>
        <w:tc>
          <w:tcPr>
            <w:tcW w:w="1554" w:type="pct"/>
            <w:shd w:val="clear" w:color="auto" w:fill="76923C" w:themeFill="accent3" w:themeFillShade="BF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  <w:t>夏月</w:t>
            </w:r>
          </w:p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  <w:t>(6月1日至9月30日</w:t>
            </w:r>
            <w:r w:rsidR="00E27E67" w:rsidRPr="00E27E67"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  <w:t>)</w:t>
            </w:r>
          </w:p>
        </w:tc>
        <w:tc>
          <w:tcPr>
            <w:tcW w:w="1076" w:type="pct"/>
            <w:shd w:val="clear" w:color="auto" w:fill="76923C" w:themeFill="accent3" w:themeFillShade="BF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  <w:t>非夏月</w:t>
            </w:r>
          </w:p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FFFFFF" w:themeColor="background1"/>
                <w:sz w:val="26"/>
                <w:szCs w:val="26"/>
              </w:rPr>
              <w:t>(夏月以外時間)</w:t>
            </w:r>
          </w:p>
        </w:tc>
      </w:tr>
      <w:tr w:rsidR="00AC7246" w:rsidRPr="00E27E67" w:rsidTr="00E2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 w:val="restart"/>
            <w:shd w:val="clear" w:color="auto" w:fill="C2D69B" w:themeFill="accent3" w:themeFillTint="99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非營業用</w:t>
            </w:r>
          </w:p>
        </w:tc>
        <w:tc>
          <w:tcPr>
            <w:tcW w:w="1266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30"/>
                <w:sz w:val="26"/>
                <w:szCs w:val="26"/>
                <w:fitText w:val="2085" w:id="1144685314"/>
              </w:rPr>
              <w:t>110度以下部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-22"/>
                <w:sz w:val="26"/>
                <w:szCs w:val="26"/>
                <w:fitText w:val="2085" w:id="1144685314"/>
              </w:rPr>
              <w:t>分</w:t>
            </w:r>
          </w:p>
        </w:tc>
        <w:tc>
          <w:tcPr>
            <w:tcW w:w="410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每度</w:t>
            </w:r>
          </w:p>
        </w:tc>
        <w:tc>
          <w:tcPr>
            <w:tcW w:w="1554" w:type="pct"/>
            <w:vAlign w:val="center"/>
          </w:tcPr>
          <w:p w:rsidR="00AC7246" w:rsidRPr="00E27E67" w:rsidRDefault="00E27E67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1.81</w:t>
            </w:r>
          </w:p>
        </w:tc>
        <w:tc>
          <w:tcPr>
            <w:tcW w:w="1076" w:type="pct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1.81</w:t>
            </w:r>
          </w:p>
        </w:tc>
      </w:tr>
      <w:tr w:rsidR="00AC7246" w:rsidRPr="00E27E67" w:rsidTr="00E27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shd w:val="clear" w:color="auto" w:fill="C2D69B" w:themeFill="accent3" w:themeFillTint="99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15"/>
                <w:sz w:val="26"/>
                <w:szCs w:val="26"/>
                <w:fitText w:val="2085" w:id="1144685313"/>
              </w:rPr>
              <w:t>111~330度部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3"/>
              </w:rPr>
              <w:t>分</w:t>
            </w:r>
          </w:p>
        </w:tc>
        <w:tc>
          <w:tcPr>
            <w:tcW w:w="410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每度</w:t>
            </w:r>
          </w:p>
        </w:tc>
        <w:tc>
          <w:tcPr>
            <w:tcW w:w="1554" w:type="pct"/>
            <w:vAlign w:val="center"/>
          </w:tcPr>
          <w:p w:rsidR="00AC7246" w:rsidRPr="00E27E67" w:rsidRDefault="00E27E67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2.64</w:t>
            </w:r>
          </w:p>
        </w:tc>
        <w:tc>
          <w:tcPr>
            <w:tcW w:w="1076" w:type="pct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2.33</w:t>
            </w:r>
          </w:p>
        </w:tc>
      </w:tr>
      <w:tr w:rsidR="00AC7246" w:rsidRPr="00E27E67" w:rsidTr="00E2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shd w:val="clear" w:color="auto" w:fill="C2D69B" w:themeFill="accent3" w:themeFillTint="99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15"/>
                <w:sz w:val="26"/>
                <w:szCs w:val="26"/>
                <w:fitText w:val="2085" w:id="1144685312"/>
              </w:rPr>
              <w:t>331~500度部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2"/>
              </w:rPr>
              <w:t>分</w:t>
            </w:r>
          </w:p>
        </w:tc>
        <w:tc>
          <w:tcPr>
            <w:tcW w:w="410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每度</w:t>
            </w:r>
          </w:p>
        </w:tc>
        <w:tc>
          <w:tcPr>
            <w:tcW w:w="1554" w:type="pct"/>
            <w:vAlign w:val="center"/>
          </w:tcPr>
          <w:p w:rsidR="00AC7246" w:rsidRPr="00E27E67" w:rsidRDefault="00E27E67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3.90</w:t>
            </w:r>
          </w:p>
        </w:tc>
        <w:tc>
          <w:tcPr>
            <w:tcW w:w="1076" w:type="pct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3.20</w:t>
            </w:r>
          </w:p>
        </w:tc>
      </w:tr>
      <w:tr w:rsidR="00AC7246" w:rsidRPr="00E27E67" w:rsidTr="00E27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shd w:val="clear" w:color="auto" w:fill="C2D69B" w:themeFill="accent3" w:themeFillTint="99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15"/>
                <w:sz w:val="26"/>
                <w:szCs w:val="26"/>
                <w:fitText w:val="2085" w:id="1144685057"/>
              </w:rPr>
              <w:t>501~700度部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057"/>
              </w:rPr>
              <w:t>分</w:t>
            </w:r>
          </w:p>
        </w:tc>
        <w:tc>
          <w:tcPr>
            <w:tcW w:w="410" w:type="pct"/>
            <w:vAlign w:val="center"/>
          </w:tcPr>
          <w:p w:rsidR="00AC7246" w:rsidRPr="00E27E67" w:rsidRDefault="00AC7246" w:rsidP="006D1E1F">
            <w:pPr>
              <w:spacing w:before="20" w:after="2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hint="eastAsia"/>
                <w:sz w:val="26"/>
                <w:szCs w:val="26"/>
              </w:rPr>
              <w:t>每度</w:t>
            </w:r>
          </w:p>
        </w:tc>
        <w:tc>
          <w:tcPr>
            <w:tcW w:w="1554" w:type="pct"/>
            <w:vAlign w:val="center"/>
          </w:tcPr>
          <w:p w:rsidR="00AC7246" w:rsidRPr="00E27E67" w:rsidRDefault="00E27E67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5.09</w:t>
            </w:r>
          </w:p>
        </w:tc>
        <w:tc>
          <w:tcPr>
            <w:tcW w:w="1076" w:type="pct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4.18</w:t>
            </w:r>
          </w:p>
        </w:tc>
      </w:tr>
      <w:tr w:rsidR="00AC7246" w:rsidRPr="00E27E67" w:rsidTr="00E2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shd w:val="clear" w:color="auto" w:fill="C2D69B" w:themeFill="accent3" w:themeFillTint="99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701~1</w:t>
            </w:r>
            <w:r w:rsid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,</w:t>
            </w: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000度部分</w:t>
            </w:r>
          </w:p>
        </w:tc>
        <w:tc>
          <w:tcPr>
            <w:tcW w:w="410" w:type="pct"/>
            <w:vAlign w:val="center"/>
          </w:tcPr>
          <w:p w:rsidR="00AC7246" w:rsidRPr="00E27E67" w:rsidRDefault="00AC7246" w:rsidP="006D1E1F">
            <w:pPr>
              <w:spacing w:before="20" w:after="2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hint="eastAsia"/>
                <w:sz w:val="26"/>
                <w:szCs w:val="26"/>
              </w:rPr>
              <w:t>每度</w:t>
            </w:r>
          </w:p>
        </w:tc>
        <w:tc>
          <w:tcPr>
            <w:tcW w:w="1554" w:type="pct"/>
            <w:vAlign w:val="center"/>
          </w:tcPr>
          <w:p w:rsidR="00AC7246" w:rsidRPr="00E27E67" w:rsidRDefault="00E27E67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5.94</w:t>
            </w:r>
          </w:p>
        </w:tc>
        <w:tc>
          <w:tcPr>
            <w:tcW w:w="1076" w:type="pct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4.85</w:t>
            </w:r>
          </w:p>
        </w:tc>
      </w:tr>
      <w:tr w:rsidR="00AC7246" w:rsidRPr="00E27E67" w:rsidTr="00E27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shd w:val="clear" w:color="auto" w:fill="C2D69B" w:themeFill="accent3" w:themeFillTint="99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8"/>
              </w:rPr>
              <w:t>1</w:t>
            </w:r>
            <w:r w:rsidR="00E27E67"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8"/>
              </w:rPr>
              <w:t>,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8"/>
              </w:rPr>
              <w:t>001度以上部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45"/>
                <w:sz w:val="26"/>
                <w:szCs w:val="26"/>
                <w:fitText w:val="2085" w:id="1144685318"/>
              </w:rPr>
              <w:t>分</w:t>
            </w:r>
          </w:p>
        </w:tc>
        <w:tc>
          <w:tcPr>
            <w:tcW w:w="410" w:type="pct"/>
            <w:vAlign w:val="center"/>
          </w:tcPr>
          <w:p w:rsidR="00AC7246" w:rsidRPr="00E27E67" w:rsidRDefault="00AC7246" w:rsidP="006D1E1F">
            <w:pPr>
              <w:spacing w:before="20" w:after="2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hint="eastAsia"/>
                <w:sz w:val="26"/>
                <w:szCs w:val="26"/>
              </w:rPr>
              <w:t>每度</w:t>
            </w:r>
          </w:p>
        </w:tc>
        <w:tc>
          <w:tcPr>
            <w:tcW w:w="1554" w:type="pct"/>
            <w:vAlign w:val="center"/>
          </w:tcPr>
          <w:p w:rsidR="00AC7246" w:rsidRPr="00E27E67" w:rsidRDefault="00E27E67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6.71</w:t>
            </w:r>
          </w:p>
        </w:tc>
        <w:tc>
          <w:tcPr>
            <w:tcW w:w="1076" w:type="pct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5.28</w:t>
            </w:r>
          </w:p>
        </w:tc>
      </w:tr>
      <w:tr w:rsidR="006D1E1F" w:rsidRPr="00E27E67" w:rsidTr="006D1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 w:val="restart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營業用</w:t>
            </w:r>
          </w:p>
        </w:tc>
        <w:tc>
          <w:tcPr>
            <w:tcW w:w="1266" w:type="pct"/>
            <w:shd w:val="clear" w:color="auto" w:fill="9BBB58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30"/>
                <w:sz w:val="26"/>
                <w:szCs w:val="26"/>
                <w:fitText w:val="2085" w:id="1144685315"/>
              </w:rPr>
              <w:t>330度以下部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-22"/>
                <w:sz w:val="26"/>
                <w:szCs w:val="26"/>
                <w:fitText w:val="2085" w:id="1144685315"/>
              </w:rPr>
              <w:t>分</w:t>
            </w:r>
          </w:p>
        </w:tc>
        <w:tc>
          <w:tcPr>
            <w:tcW w:w="410" w:type="pct"/>
            <w:shd w:val="clear" w:color="auto" w:fill="9BBB58"/>
            <w:vAlign w:val="center"/>
          </w:tcPr>
          <w:p w:rsidR="00AC7246" w:rsidRPr="00E27E67" w:rsidRDefault="00AC7246" w:rsidP="006D1E1F">
            <w:pPr>
              <w:spacing w:before="20" w:after="2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hint="eastAsia"/>
                <w:sz w:val="26"/>
                <w:szCs w:val="26"/>
              </w:rPr>
              <w:t>每度</w:t>
            </w:r>
          </w:p>
        </w:tc>
        <w:tc>
          <w:tcPr>
            <w:tcW w:w="1554" w:type="pct"/>
            <w:shd w:val="clear" w:color="auto" w:fill="9BBB5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2.81</w:t>
            </w:r>
          </w:p>
        </w:tc>
        <w:tc>
          <w:tcPr>
            <w:tcW w:w="1076" w:type="pct"/>
            <w:shd w:val="clear" w:color="auto" w:fill="9BBB5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2.35</w:t>
            </w:r>
          </w:p>
        </w:tc>
      </w:tr>
      <w:tr w:rsidR="00AC7246" w:rsidRPr="00E27E67" w:rsidTr="006D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D4E2B8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15"/>
                <w:sz w:val="26"/>
                <w:szCs w:val="26"/>
                <w:fitText w:val="2085" w:id="1144685316"/>
              </w:rPr>
              <w:t>331~700度部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6"/>
              </w:rPr>
              <w:t>分</w:t>
            </w:r>
          </w:p>
        </w:tc>
        <w:tc>
          <w:tcPr>
            <w:tcW w:w="410" w:type="pct"/>
            <w:shd w:val="clear" w:color="auto" w:fill="D4E2B8"/>
            <w:vAlign w:val="center"/>
          </w:tcPr>
          <w:p w:rsidR="00AC7246" w:rsidRPr="00E27E67" w:rsidRDefault="00AC7246" w:rsidP="006D1E1F">
            <w:pPr>
              <w:spacing w:before="20" w:after="2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hint="eastAsia"/>
                <w:sz w:val="26"/>
                <w:szCs w:val="26"/>
              </w:rPr>
              <w:t>每度</w:t>
            </w:r>
          </w:p>
        </w:tc>
        <w:tc>
          <w:tcPr>
            <w:tcW w:w="1554" w:type="pct"/>
            <w:shd w:val="clear" w:color="auto" w:fill="D4E2B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3.94</w:t>
            </w:r>
          </w:p>
        </w:tc>
        <w:tc>
          <w:tcPr>
            <w:tcW w:w="1076" w:type="pct"/>
            <w:shd w:val="clear" w:color="auto" w:fill="D4E2B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3.22</w:t>
            </w:r>
          </w:p>
        </w:tc>
      </w:tr>
      <w:tr w:rsidR="00AC7246" w:rsidRPr="00E27E67" w:rsidTr="006D1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9BBB58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701~1</w:t>
            </w:r>
            <w:r w:rsid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,</w:t>
            </w:r>
            <w:r w:rsidRPr="00E27E67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500度部分</w:t>
            </w:r>
          </w:p>
        </w:tc>
        <w:tc>
          <w:tcPr>
            <w:tcW w:w="410" w:type="pct"/>
            <w:shd w:val="clear" w:color="auto" w:fill="9BBB58"/>
            <w:vAlign w:val="center"/>
          </w:tcPr>
          <w:p w:rsidR="00AC7246" w:rsidRPr="00E27E67" w:rsidRDefault="00AC7246" w:rsidP="006D1E1F">
            <w:pPr>
              <w:spacing w:before="20" w:after="2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hint="eastAsia"/>
                <w:sz w:val="26"/>
                <w:szCs w:val="26"/>
              </w:rPr>
              <w:t>每度</w:t>
            </w:r>
          </w:p>
        </w:tc>
        <w:tc>
          <w:tcPr>
            <w:tcW w:w="1554" w:type="pct"/>
            <w:shd w:val="clear" w:color="auto" w:fill="9BBB5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4.71</w:t>
            </w:r>
          </w:p>
        </w:tc>
        <w:tc>
          <w:tcPr>
            <w:tcW w:w="1076" w:type="pct"/>
            <w:shd w:val="clear" w:color="auto" w:fill="9BBB5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3.81</w:t>
            </w:r>
          </w:p>
        </w:tc>
      </w:tr>
      <w:tr w:rsidR="00AC7246" w:rsidRPr="00E27E67" w:rsidTr="006D1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pct"/>
            <w:vMerge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</w:p>
        </w:tc>
        <w:tc>
          <w:tcPr>
            <w:tcW w:w="1266" w:type="pct"/>
            <w:shd w:val="clear" w:color="auto" w:fill="D4E2B8"/>
            <w:vAlign w:val="center"/>
          </w:tcPr>
          <w:p w:rsidR="00AC7246" w:rsidRPr="00E27E67" w:rsidRDefault="00AC7246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7"/>
              </w:rPr>
              <w:t>1</w:t>
            </w:r>
            <w:r w:rsidR="00E27E67"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7"/>
              </w:rPr>
              <w:t>,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  <w:fitText w:val="2085" w:id="1144685317"/>
              </w:rPr>
              <w:t>501度以上部</w:t>
            </w:r>
            <w:r w:rsidRPr="006D1E1F">
              <w:rPr>
                <w:rFonts w:ascii="微軟正黑體" w:eastAsia="微軟正黑體" w:hAnsi="微軟正黑體" w:cs="Times New Roman" w:hint="eastAsia"/>
                <w:color w:val="auto"/>
                <w:spacing w:val="45"/>
                <w:sz w:val="26"/>
                <w:szCs w:val="26"/>
                <w:fitText w:val="2085" w:id="1144685317"/>
              </w:rPr>
              <w:t>分</w:t>
            </w:r>
          </w:p>
        </w:tc>
        <w:tc>
          <w:tcPr>
            <w:tcW w:w="410" w:type="pct"/>
            <w:shd w:val="clear" w:color="auto" w:fill="D4E2B8"/>
            <w:vAlign w:val="center"/>
          </w:tcPr>
          <w:p w:rsidR="00AC7246" w:rsidRPr="00E27E67" w:rsidRDefault="00AC7246" w:rsidP="006D1E1F">
            <w:pPr>
              <w:spacing w:before="20" w:after="2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E27E67">
              <w:rPr>
                <w:rFonts w:ascii="微軟正黑體" w:eastAsia="微軟正黑體" w:hAnsi="微軟正黑體" w:hint="eastAsia"/>
                <w:sz w:val="26"/>
                <w:szCs w:val="26"/>
              </w:rPr>
              <w:t>每度</w:t>
            </w:r>
          </w:p>
        </w:tc>
        <w:tc>
          <w:tcPr>
            <w:tcW w:w="1554" w:type="pct"/>
            <w:shd w:val="clear" w:color="auto" w:fill="D4E2B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6.73</w:t>
            </w:r>
          </w:p>
        </w:tc>
        <w:tc>
          <w:tcPr>
            <w:tcW w:w="1076" w:type="pct"/>
            <w:shd w:val="clear" w:color="auto" w:fill="D4E2B8"/>
            <w:vAlign w:val="center"/>
          </w:tcPr>
          <w:p w:rsidR="00AC7246" w:rsidRPr="00E27E67" w:rsidRDefault="006D1E1F" w:rsidP="006D1E1F">
            <w:pPr>
              <w:pStyle w:val="Web"/>
              <w:spacing w:before="20" w:beforeAutospacing="0" w:after="20" w:afterAutospacing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 w:val="26"/>
                <w:szCs w:val="26"/>
              </w:rPr>
              <w:t>5.31</w:t>
            </w:r>
          </w:p>
        </w:tc>
      </w:tr>
    </w:tbl>
    <w:p w:rsidR="008E0576" w:rsidRPr="008E0576" w:rsidRDefault="008E0576" w:rsidP="008E0576">
      <w:pPr>
        <w:widowControl/>
        <w:wordWrap w:val="0"/>
        <w:spacing w:before="100" w:beforeAutospacing="1" w:after="100" w:afterAutospacing="1" w:line="408" w:lineRule="auto"/>
        <w:rPr>
          <w:rFonts w:ascii="標楷體" w:eastAsia="標楷體" w:hAnsi="標楷體"/>
          <w:sz w:val="23"/>
          <w:szCs w:val="23"/>
        </w:rPr>
      </w:pPr>
      <w:r w:rsidRPr="001A454F">
        <w:rPr>
          <w:rFonts w:ascii="標楷體" w:eastAsia="標楷體" w:hAnsi="標楷體" w:cs="Arial"/>
          <w:spacing w:val="30"/>
          <w:kern w:val="0"/>
          <w:szCs w:val="24"/>
        </w:rPr>
        <w:t>以上資料來源「台灣電力公司網站」</w:t>
      </w:r>
    </w:p>
    <w:p w:rsidR="008E0576" w:rsidRPr="00674C43" w:rsidRDefault="008E0576" w:rsidP="008E0576">
      <w:pPr>
        <w:pStyle w:val="Web"/>
        <w:shd w:val="clear" w:color="auto" w:fill="FFFFFF"/>
        <w:rPr>
          <w:rFonts w:ascii="標楷體" w:eastAsia="標楷體" w:hAnsi="標楷體"/>
          <w:color w:val="auto"/>
          <w:sz w:val="23"/>
          <w:szCs w:val="23"/>
        </w:rPr>
      </w:pP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電力公司的電費是依多</w:t>
      </w:r>
      <w:bookmarkStart w:id="0" w:name="_GoBack"/>
      <w:bookmarkEnd w:id="0"/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少「用電量」來計算，是以度數為單位。一度相當於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1,000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瓦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(W)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的電器使用一小時，也就是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1000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瓦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-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小時。可是電器上標示的都是消耗電功率，所以將消耗電功率換算成使用度數的簡易</w:t>
      </w:r>
      <w:r w:rsidRPr="00674C43">
        <w:rPr>
          <w:rFonts w:ascii="標楷體" w:eastAsia="標楷體" w:hAnsi="標楷體"/>
          <w:color w:val="auto"/>
          <w:sz w:val="23"/>
          <w:szCs w:val="23"/>
        </w:rPr>
        <w:t>公式如下：</w:t>
      </w:r>
      <w:r w:rsidR="004D1207">
        <w:rPr>
          <w:rFonts w:ascii="標楷體" w:eastAsia="標楷體" w:hAnsi="標楷體"/>
          <w:noProof/>
          <w:color w:val="auto"/>
          <w:sz w:val="23"/>
          <w:szCs w:val="23"/>
        </w:rPr>
        <w:drawing>
          <wp:inline distT="0" distB="0" distL="0" distR="0">
            <wp:extent cx="2800350" cy="600075"/>
            <wp:effectExtent l="19050" t="0" r="0" b="0"/>
            <wp:docPr id="7" name="圖片 7" descr="使用度數公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使用度數公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576" w:rsidRPr="004D1207" w:rsidRDefault="008E0576" w:rsidP="008E0576">
      <w:pPr>
        <w:pStyle w:val="Web"/>
        <w:shd w:val="clear" w:color="auto" w:fill="FFFFFF"/>
        <w:rPr>
          <w:rFonts w:ascii="Times New Roman" w:eastAsia="標楷體" w:hAnsi="Times New Roman" w:cs="Times New Roman"/>
          <w:color w:val="auto"/>
          <w:sz w:val="23"/>
          <w:szCs w:val="23"/>
        </w:rPr>
      </w:pP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例如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1,200W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耗電量的吹風機，使用了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20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分鐘，等於使用了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1/3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小時，使用電量</w:t>
      </w:r>
    </w:p>
    <w:p w:rsidR="008E0576" w:rsidRPr="004D1207" w:rsidRDefault="008E0576" w:rsidP="008E0576">
      <w:pPr>
        <w:pStyle w:val="Web"/>
        <w:shd w:val="clear" w:color="auto" w:fill="FFFFFF"/>
        <w:rPr>
          <w:rFonts w:ascii="Times New Roman" w:eastAsia="標楷體" w:hAnsi="Times New Roman" w:cs="Times New Roman"/>
          <w:color w:val="auto"/>
          <w:sz w:val="23"/>
          <w:szCs w:val="23"/>
        </w:rPr>
      </w:pP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=(1200*(1/3))/1000 = 0.4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度</w:t>
      </w:r>
    </w:p>
    <w:p w:rsidR="008E0576" w:rsidRPr="004D1207" w:rsidRDefault="008E0576" w:rsidP="008E0576">
      <w:pPr>
        <w:pStyle w:val="Web"/>
        <w:shd w:val="clear" w:color="auto" w:fill="FFFFFF"/>
        <w:rPr>
          <w:rFonts w:ascii="Times New Roman" w:eastAsia="標楷體" w:hAnsi="Times New Roman" w:cs="Times New Roman"/>
          <w:color w:val="auto"/>
          <w:sz w:val="23"/>
          <w:szCs w:val="23"/>
        </w:rPr>
      </w:pP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一個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1,000W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的電器使用一小時用電量為一度，跟另一個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200W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的電器使用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5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小時也是一度，兩者用電量都是一度，所要繳的電費是一樣的。一個是比較耗電，用的時間短；一個是比較省電，用電的時間長。不過兩者的用電量都是一度，需要繳交的電費是一樣的。</w:t>
      </w:r>
    </w:p>
    <w:p w:rsidR="008E0576" w:rsidRPr="004D1207" w:rsidRDefault="008E0576" w:rsidP="008E0576">
      <w:pPr>
        <w:pStyle w:val="Web"/>
        <w:shd w:val="clear" w:color="auto" w:fill="FFFFFF"/>
        <w:rPr>
          <w:rFonts w:ascii="Times New Roman" w:eastAsia="標楷體" w:hAnsi="Times New Roman" w:cs="Times New Roman"/>
          <w:color w:val="auto"/>
          <w:sz w:val="23"/>
          <w:szCs w:val="23"/>
        </w:rPr>
      </w:pP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有些電器耗電量較大，通常消耗電功率會以</w:t>
      </w:r>
      <w:proofErr w:type="gramStart"/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千瓦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(</w:t>
      </w:r>
      <w:proofErr w:type="gramEnd"/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KW)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來標示，這時上面『使用度數』公式就不需要再除上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1000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了。例如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1.2KW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的電器，使用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>5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小時，使用度數</w:t>
      </w:r>
      <w:r w:rsidRPr="004D1207">
        <w:rPr>
          <w:rFonts w:ascii="Times New Roman" w:eastAsia="標楷體" w:hAnsi="Times New Roman" w:cs="Times New Roman"/>
          <w:color w:val="auto"/>
          <w:sz w:val="23"/>
          <w:szCs w:val="23"/>
        </w:rPr>
        <w:t xml:space="preserve"> = 1.2*5 = 6</w:t>
      </w:r>
      <w:r w:rsidRPr="004D1207">
        <w:rPr>
          <w:rFonts w:ascii="Times New Roman" w:eastAsia="標楷體" w:hAnsi="標楷體" w:cs="Times New Roman"/>
          <w:color w:val="auto"/>
          <w:sz w:val="23"/>
          <w:szCs w:val="23"/>
        </w:rPr>
        <w:t>度。</w:t>
      </w:r>
    </w:p>
    <w:sectPr w:rsidR="008E0576" w:rsidRPr="004D1207" w:rsidSect="00D929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7F" w:rsidRDefault="0074667F" w:rsidP="00F960CA">
      <w:r>
        <w:separator/>
      </w:r>
    </w:p>
  </w:endnote>
  <w:endnote w:type="continuationSeparator" w:id="0">
    <w:p w:rsidR="0074667F" w:rsidRDefault="0074667F" w:rsidP="00F9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7F" w:rsidRDefault="0074667F" w:rsidP="00F960CA">
      <w:r>
        <w:separator/>
      </w:r>
    </w:p>
  </w:footnote>
  <w:footnote w:type="continuationSeparator" w:id="0">
    <w:p w:rsidR="0074667F" w:rsidRDefault="0074667F" w:rsidP="00F9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925"/>
    <w:multiLevelType w:val="multilevel"/>
    <w:tmpl w:val="00CE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54F"/>
    <w:rsid w:val="00004544"/>
    <w:rsid w:val="000E6362"/>
    <w:rsid w:val="0012507C"/>
    <w:rsid w:val="00147370"/>
    <w:rsid w:val="00160B7A"/>
    <w:rsid w:val="001A454F"/>
    <w:rsid w:val="00225088"/>
    <w:rsid w:val="00301257"/>
    <w:rsid w:val="003758DC"/>
    <w:rsid w:val="00380A63"/>
    <w:rsid w:val="003D2016"/>
    <w:rsid w:val="003F4693"/>
    <w:rsid w:val="004D1207"/>
    <w:rsid w:val="00511BD4"/>
    <w:rsid w:val="005F356B"/>
    <w:rsid w:val="00674C43"/>
    <w:rsid w:val="006D1E1F"/>
    <w:rsid w:val="00734448"/>
    <w:rsid w:val="0074667F"/>
    <w:rsid w:val="008271D9"/>
    <w:rsid w:val="008744ED"/>
    <w:rsid w:val="008D2150"/>
    <w:rsid w:val="008E0576"/>
    <w:rsid w:val="00A43084"/>
    <w:rsid w:val="00A4762C"/>
    <w:rsid w:val="00A47B00"/>
    <w:rsid w:val="00AC7246"/>
    <w:rsid w:val="00B15F8A"/>
    <w:rsid w:val="00B415C6"/>
    <w:rsid w:val="00B8607C"/>
    <w:rsid w:val="00BB272C"/>
    <w:rsid w:val="00C06BB3"/>
    <w:rsid w:val="00C113AB"/>
    <w:rsid w:val="00CA05F0"/>
    <w:rsid w:val="00D929BC"/>
    <w:rsid w:val="00DB2467"/>
    <w:rsid w:val="00DE015B"/>
    <w:rsid w:val="00E03FC2"/>
    <w:rsid w:val="00E27E67"/>
    <w:rsid w:val="00F960CA"/>
    <w:rsid w:val="00F97634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1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29B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A4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3366CC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A454F"/>
    <w:rPr>
      <w:rFonts w:ascii="新細明體" w:eastAsia="新細明體" w:hAnsi="新細明體" w:cs="新細明體"/>
      <w:b/>
      <w:bCs/>
      <w:color w:val="3366CC"/>
      <w:kern w:val="0"/>
      <w:szCs w:val="24"/>
    </w:rPr>
  </w:style>
  <w:style w:type="paragraph" w:styleId="Web">
    <w:name w:val="Normal (Web)"/>
    <w:basedOn w:val="a"/>
    <w:uiPriority w:val="99"/>
    <w:unhideWhenUsed/>
    <w:rsid w:val="001A454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D929B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semiHidden/>
    <w:unhideWhenUsed/>
    <w:rsid w:val="00D929BC"/>
    <w:rPr>
      <w:color w:val="0000FF"/>
      <w:u w:val="single"/>
    </w:rPr>
  </w:style>
  <w:style w:type="paragraph" w:customStyle="1" w:styleId="style3">
    <w:name w:val="style3"/>
    <w:basedOn w:val="a"/>
    <w:rsid w:val="00D929BC"/>
    <w:pPr>
      <w:widowControl/>
      <w:spacing w:before="120" w:after="100" w:afterAutospacing="1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style11">
    <w:name w:val="style11"/>
    <w:basedOn w:val="a0"/>
    <w:rsid w:val="00D929BC"/>
    <w:rPr>
      <w:rFonts w:ascii="微軟正黑體" w:eastAsia="微軟正黑體" w:hAnsi="微軟正黑體" w:hint="eastAsia"/>
    </w:rPr>
  </w:style>
  <w:style w:type="paragraph" w:styleId="a4">
    <w:name w:val="header"/>
    <w:basedOn w:val="a"/>
    <w:link w:val="a5"/>
    <w:uiPriority w:val="99"/>
    <w:semiHidden/>
    <w:unhideWhenUsed/>
    <w:rsid w:val="00F96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60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6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60C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C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72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AC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Shading 1 Accent 4"/>
    <w:basedOn w:val="a1"/>
    <w:uiPriority w:val="63"/>
    <w:rsid w:val="00AC724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E27E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ipower.com.tw/TaipowerWeb/upload/files/11/main_3_6_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Links>
    <vt:vector size="6" baseType="variant">
      <vt:variant>
        <vt:i4>7471130</vt:i4>
      </vt:variant>
      <vt:variant>
        <vt:i4>15</vt:i4>
      </vt:variant>
      <vt:variant>
        <vt:i4>0</vt:i4>
      </vt:variant>
      <vt:variant>
        <vt:i4>5</vt:i4>
      </vt:variant>
      <vt:variant>
        <vt:lpwstr>http://www.taipower.com.tw/TaipowerWeb/upload/files/11/main_3_6_3.pdf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常用電器耗電瓦數概估表</dc:title>
  <dc:creator>user</dc:creator>
  <cp:lastModifiedBy>sunny</cp:lastModifiedBy>
  <cp:revision>3</cp:revision>
  <dcterms:created xsi:type="dcterms:W3CDTF">2016-04-06T15:50:00Z</dcterms:created>
  <dcterms:modified xsi:type="dcterms:W3CDTF">2016-04-07T02:07:00Z</dcterms:modified>
</cp:coreProperties>
</file>